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BA" w:rsidRPr="00687EBA" w:rsidRDefault="00687EBA" w:rsidP="00687EBA">
      <w:pPr>
        <w:widowControl/>
        <w:shd w:val="clear" w:color="auto" w:fill="FFFFFF"/>
        <w:jc w:val="center"/>
        <w:rPr>
          <w:rFonts w:ascii="宋体" w:eastAsia="宋体" w:hAnsi="宋体" w:cs="宋体"/>
          <w:color w:val="333333"/>
          <w:kern w:val="0"/>
          <w:sz w:val="27"/>
          <w:szCs w:val="27"/>
        </w:rPr>
      </w:pPr>
      <w:r w:rsidRPr="00687EBA">
        <w:rPr>
          <w:rFonts w:ascii="宋体" w:eastAsia="宋体" w:hAnsi="宋体" w:cs="宋体" w:hint="eastAsia"/>
          <w:b/>
          <w:bCs/>
          <w:color w:val="333333"/>
          <w:kern w:val="0"/>
          <w:sz w:val="36"/>
          <w:szCs w:val="36"/>
        </w:rPr>
        <w:t>三级公立医院绩效考核指标</w:t>
      </w:r>
    </w:p>
    <w:p w:rsidR="00687EBA" w:rsidRPr="00687EBA" w:rsidRDefault="00687EBA" w:rsidP="00687EBA">
      <w:pPr>
        <w:widowControl/>
        <w:shd w:val="clear" w:color="auto" w:fill="FFFFFF"/>
        <w:jc w:val="center"/>
        <w:rPr>
          <w:rFonts w:ascii="宋体" w:eastAsia="宋体" w:hAnsi="宋体" w:cs="宋体" w:hint="eastAsia"/>
          <w:color w:val="333333"/>
          <w:kern w:val="0"/>
          <w:sz w:val="27"/>
          <w:szCs w:val="27"/>
        </w:rPr>
      </w:pPr>
    </w:p>
    <w:tbl>
      <w:tblPr>
        <w:tblW w:w="8504" w:type="dxa"/>
        <w:jc w:val="center"/>
        <w:tblCellMar>
          <w:left w:w="0" w:type="dxa"/>
          <w:right w:w="0" w:type="dxa"/>
        </w:tblCellMar>
        <w:tblLook w:val="04A0"/>
      </w:tblPr>
      <w:tblGrid>
        <w:gridCol w:w="1070"/>
        <w:gridCol w:w="1066"/>
        <w:gridCol w:w="1928"/>
        <w:gridCol w:w="1050"/>
        <w:gridCol w:w="3390"/>
      </w:tblGrid>
      <w:tr w:rsidR="00687EBA" w:rsidRPr="00687EBA" w:rsidTr="00687EBA">
        <w:trPr>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b/>
                <w:bCs/>
                <w:kern w:val="0"/>
                <w:sz w:val="20"/>
                <w:szCs w:val="20"/>
              </w:rPr>
              <w:t>一级指标</w:t>
            </w:r>
          </w:p>
        </w:tc>
        <w:tc>
          <w:tcPr>
            <w:tcW w:w="10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b/>
                <w:bCs/>
                <w:kern w:val="0"/>
                <w:sz w:val="20"/>
                <w:szCs w:val="20"/>
              </w:rPr>
              <w:t>二级指标</w:t>
            </w:r>
          </w:p>
        </w:tc>
        <w:tc>
          <w:tcPr>
            <w:tcW w:w="19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b/>
                <w:bCs/>
                <w:kern w:val="0"/>
                <w:sz w:val="20"/>
                <w:szCs w:val="20"/>
              </w:rPr>
              <w:t>三级指标</w:t>
            </w:r>
          </w:p>
        </w:tc>
        <w:tc>
          <w:tcPr>
            <w:tcW w:w="10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b/>
                <w:bCs/>
                <w:kern w:val="0"/>
                <w:sz w:val="20"/>
                <w:szCs w:val="20"/>
              </w:rPr>
              <w:t>指标性质</w:t>
            </w:r>
          </w:p>
        </w:tc>
        <w:tc>
          <w:tcPr>
            <w:tcW w:w="3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b/>
                <w:bCs/>
                <w:kern w:val="0"/>
                <w:sz w:val="20"/>
                <w:szCs w:val="20"/>
              </w:rPr>
              <w:t>指标说明</w:t>
            </w:r>
          </w:p>
        </w:tc>
      </w:tr>
      <w:tr w:rsidR="00687EBA" w:rsidRPr="00687EBA" w:rsidTr="00687EBA">
        <w:trPr>
          <w:jc w:val="center"/>
        </w:trPr>
        <w:tc>
          <w:tcPr>
            <w:tcW w:w="10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b/>
                <w:bCs/>
                <w:kern w:val="0"/>
                <w:sz w:val="20"/>
                <w:szCs w:val="20"/>
              </w:rPr>
              <w:t>一、医疗质量</w:t>
            </w: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（一）功能定位</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1.门诊人次数与出院人次数比</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门诊患者人次数/同期出院患者人次数（急诊、健康体检者不计入）。</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2.下转患者人次数（门急诊、住院）</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本年度向二级医院或者基层医疗机构下转患者人次数（门急诊、住院）。</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3.日间手术占择期手术比例</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日间手术台次数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同期出院患者择期手术总台次数×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4.出院患者手术占比▲</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出院患者手术台次数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同期出院患者总人次数×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病案首页。</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5.出院患者微创手术占比▲</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出院患者微创手术台次数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同期出院患者手术台次数×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病案首页。</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6.出院患者四级手术比例▲</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出院患者四级手术台次数/同期出院患者手术台次数×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病案首页。</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7.特需医疗服务占比</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特需医疗服务量/同期全部医疗服务量×</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，特需医疗服务收入/同期全部医疗服务收入×</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（二）质量安全</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8.手术患者并发症发生率▲</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手术患者并发症发生例数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同期出院的手术患者人数×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病案首页。</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9. I类切口手术部位感染率▲</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I类切口手术部位感染人次数/同期I类切口手术台次数×100%。</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病案首页。</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10.单病种质量控制▲</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符合单病种质量控制标准。</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病案首页。</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11.大型医用设备检查阳性率</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大型医用设备检查阳性数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同期大型医用设备检查人次数×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12.大型医用设备维修保养及质量控制管理</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定性</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引导医院关注医用设备的维修保养和质量控制，配置合适维修人员和维修检测设备。评价内容包括但不限于：（</w:t>
            </w:r>
            <w:r w:rsidRPr="00687EBA">
              <w:rPr>
                <w:rFonts w:ascii="Calibri" w:eastAsia="宋体" w:hAnsi="Calibri" w:cs="宋体"/>
                <w:kern w:val="0"/>
                <w:sz w:val="20"/>
                <w:szCs w:val="20"/>
              </w:rPr>
              <w:t>1</w:t>
            </w:r>
            <w:r w:rsidRPr="00687EBA">
              <w:rPr>
                <w:rFonts w:ascii="宋体" w:eastAsia="宋体" w:hAnsi="宋体" w:cs="宋体" w:hint="eastAsia"/>
                <w:kern w:val="0"/>
                <w:sz w:val="20"/>
                <w:szCs w:val="20"/>
              </w:rPr>
              <w:t>）配置合理维修人员和维修场地，涉及有毒有害作业应有合适的维修场所和有效防护；（</w:t>
            </w:r>
            <w:r w:rsidRPr="00687EBA">
              <w:rPr>
                <w:rFonts w:ascii="Calibri" w:eastAsia="宋体" w:hAnsi="Calibri" w:cs="宋体"/>
                <w:kern w:val="0"/>
                <w:sz w:val="20"/>
                <w:szCs w:val="20"/>
              </w:rPr>
              <w:t>2</w:t>
            </w:r>
            <w:r w:rsidRPr="00687EBA">
              <w:rPr>
                <w:rFonts w:ascii="宋体" w:eastAsia="宋体" w:hAnsi="宋体" w:cs="宋体" w:hint="eastAsia"/>
                <w:kern w:val="0"/>
                <w:sz w:val="20"/>
                <w:szCs w:val="20"/>
              </w:rPr>
              <w:t>）制定急救、生命支持类等设备的预防性维护维修计划；（</w:t>
            </w:r>
            <w:r w:rsidRPr="00687EBA">
              <w:rPr>
                <w:rFonts w:ascii="Calibri" w:eastAsia="宋体" w:hAnsi="Calibri" w:cs="宋体"/>
                <w:kern w:val="0"/>
                <w:sz w:val="20"/>
                <w:szCs w:val="20"/>
              </w:rPr>
              <w:t>3</w:t>
            </w:r>
            <w:r w:rsidRPr="00687EBA">
              <w:rPr>
                <w:rFonts w:ascii="宋体" w:eastAsia="宋体" w:hAnsi="宋体" w:cs="宋体" w:hint="eastAsia"/>
                <w:kern w:val="0"/>
                <w:sz w:val="20"/>
                <w:szCs w:val="20"/>
              </w:rPr>
              <w:t>）开展日常保养和维护，有巡检、保养、维修等相关记录及设备管理部门对临床使用部门的监管、培训记录；（</w:t>
            </w:r>
            <w:r w:rsidRPr="00687EBA">
              <w:rPr>
                <w:rFonts w:ascii="Calibri" w:eastAsia="宋体" w:hAnsi="Calibri" w:cs="宋体"/>
                <w:kern w:val="0"/>
                <w:sz w:val="20"/>
                <w:szCs w:val="20"/>
              </w:rPr>
              <w:t>4</w:t>
            </w:r>
            <w:r w:rsidRPr="00687EBA">
              <w:rPr>
                <w:rFonts w:ascii="宋体" w:eastAsia="宋体" w:hAnsi="宋体" w:cs="宋体" w:hint="eastAsia"/>
                <w:kern w:val="0"/>
                <w:sz w:val="20"/>
                <w:szCs w:val="20"/>
              </w:rPr>
              <w:t>）配置必备的检测和质量控制设备，医学设备管理部门定期对设备特别是急救、生命支持类设备进行预防性维护，确保在用设备完好，有记录和标识，并对发现的问题及时处理。</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13.通过国家室间质量评价的临床检验项目数▲</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医院临床检验项目中通过国家临床检验中心组织的室间质量评价项目数量。</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国家卫生健康委。</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14.低风险组病例死</w:t>
            </w:r>
            <w:r w:rsidRPr="00687EBA">
              <w:rPr>
                <w:rFonts w:ascii="宋体" w:eastAsia="宋体" w:hAnsi="宋体" w:cs="宋体" w:hint="eastAsia"/>
                <w:kern w:val="0"/>
                <w:sz w:val="20"/>
                <w:szCs w:val="20"/>
              </w:rPr>
              <w:lastRenderedPageBreak/>
              <w:t>亡率▲</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lastRenderedPageBreak/>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低风险组死亡例数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低风</w:t>
            </w:r>
            <w:r w:rsidRPr="00687EBA">
              <w:rPr>
                <w:rFonts w:ascii="宋体" w:eastAsia="宋体" w:hAnsi="宋体" w:cs="宋体" w:hint="eastAsia"/>
                <w:kern w:val="0"/>
                <w:sz w:val="20"/>
                <w:szCs w:val="20"/>
              </w:rPr>
              <w:lastRenderedPageBreak/>
              <w:t>险组病例数×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病案首页。</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15.优质护理服务病房覆盖率</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全院已经开展优质护理服务的病房总数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全院病房总数×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（三）</w:t>
            </w:r>
          </w:p>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合理用药</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16.点评处方占处方总数的比例</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点评处方数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处方总数×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17.抗菌药物使用强度（</w:t>
            </w:r>
            <w:r w:rsidRPr="00687EBA">
              <w:rPr>
                <w:rFonts w:ascii="Calibri" w:eastAsia="宋体" w:hAnsi="Calibri" w:cs="宋体"/>
                <w:kern w:val="0"/>
                <w:sz w:val="20"/>
                <w:szCs w:val="20"/>
              </w:rPr>
              <w:t>DDDs</w:t>
            </w:r>
            <w:r w:rsidRPr="00687EBA">
              <w:rPr>
                <w:rFonts w:ascii="宋体" w:eastAsia="宋体" w:hAnsi="宋体" w:cs="宋体" w:hint="eastAsia"/>
                <w:kern w:val="0"/>
                <w:sz w:val="20"/>
                <w:szCs w:val="20"/>
              </w:rPr>
              <w:t>）▲</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本年度住院患者抗菌药物消耗量（累计</w:t>
            </w:r>
            <w:r w:rsidRPr="00687EBA">
              <w:rPr>
                <w:rFonts w:ascii="Calibri" w:eastAsia="宋体" w:hAnsi="Calibri" w:cs="宋体"/>
                <w:kern w:val="0"/>
                <w:sz w:val="20"/>
                <w:szCs w:val="20"/>
              </w:rPr>
              <w:t>DDD</w:t>
            </w:r>
            <w:r w:rsidRPr="00687EBA">
              <w:rPr>
                <w:rFonts w:ascii="宋体" w:eastAsia="宋体" w:hAnsi="宋体" w:cs="宋体" w:hint="eastAsia"/>
                <w:kern w:val="0"/>
                <w:sz w:val="20"/>
                <w:szCs w:val="20"/>
              </w:rPr>
              <w:t>数）/同期收治患者人天数×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。收治患者人天数＝出院患者人次数×出院患者平均住院天数。</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18.门诊患者基本药物处方占比</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门诊使用基本药物人次数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同期门诊诊疗总人次数×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19.住院患者基本药物使用率</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出院患者使用基本药物总人次数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同期出院总人次数×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20.基本药物采购品种数占比</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医院采购基本药物品种数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医院同期采购药物品种总数×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省级招采平台。</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21.国家组织药品集中采购中标药品使用比例</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中标药品用量</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同种药品用量×</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（四）</w:t>
            </w:r>
          </w:p>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服务流程</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22.门诊患者平均预约诊疗率</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预约诊疗人次数/总诊疗人次数×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（急诊人次数不计入）。</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23.门诊患者预约后</w:t>
            </w:r>
            <w:r w:rsidRPr="00687EBA">
              <w:rPr>
                <w:rFonts w:ascii="宋体" w:eastAsia="宋体" w:hAnsi="宋体" w:cs="宋体" w:hint="eastAsia"/>
                <w:kern w:val="0"/>
                <w:sz w:val="20"/>
                <w:szCs w:val="20"/>
              </w:rPr>
              <w:lastRenderedPageBreak/>
              <w:t>平均等待时间</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lastRenderedPageBreak/>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门诊患者按预约时间到达</w:t>
            </w:r>
            <w:r w:rsidRPr="00687EBA">
              <w:rPr>
                <w:rFonts w:ascii="宋体" w:eastAsia="宋体" w:hAnsi="宋体" w:cs="宋体" w:hint="eastAsia"/>
                <w:kern w:val="0"/>
                <w:sz w:val="20"/>
                <w:szCs w:val="20"/>
              </w:rPr>
              <w:lastRenderedPageBreak/>
              <w:t>医院后至进入诊室前的等待时间。</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24.电子病历应用功能水平分级▲</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定性</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按照国家卫生健康委电子病历应用功能水平分级标准评估。</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国家卫生健康委。</w:t>
            </w:r>
          </w:p>
        </w:tc>
      </w:tr>
      <w:tr w:rsidR="00687EBA" w:rsidRPr="00687EBA" w:rsidTr="00687EBA">
        <w:trPr>
          <w:jc w:val="center"/>
        </w:trPr>
        <w:tc>
          <w:tcPr>
            <w:tcW w:w="10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b/>
                <w:bCs/>
                <w:kern w:val="0"/>
                <w:sz w:val="20"/>
                <w:szCs w:val="20"/>
              </w:rPr>
              <w:t>二、运营效率</w:t>
            </w:r>
          </w:p>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 </w:t>
            </w: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（五）</w:t>
            </w:r>
          </w:p>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资源效率</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25.每名执业医师日均住院工作负担</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全年实际占用总床日数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医院平均执业（助理）医师人数</w:t>
            </w:r>
            <w:r w:rsidRPr="00687EBA">
              <w:rPr>
                <w:rFonts w:ascii="Calibri" w:eastAsia="宋体" w:hAnsi="Calibri" w:cs="宋体"/>
                <w:kern w:val="0"/>
                <w:sz w:val="20"/>
                <w:szCs w:val="20"/>
              </w:rPr>
              <w:t>/365</w:t>
            </w:r>
            <w:r w:rsidRPr="00687EBA">
              <w:rPr>
                <w:rFonts w:ascii="宋体" w:eastAsia="宋体" w:hAnsi="宋体" w:cs="宋体" w:hint="eastAsia"/>
                <w:kern w:val="0"/>
                <w:sz w:val="20"/>
                <w:szCs w:val="20"/>
              </w:rPr>
              <w:t>。医院平均执业（助理）医师人数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（本年度人数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上一年度人数）</w:t>
            </w:r>
            <w:r w:rsidRPr="00687EBA">
              <w:rPr>
                <w:rFonts w:ascii="Calibri" w:eastAsia="宋体" w:hAnsi="Calibri" w:cs="宋体"/>
                <w:kern w:val="0"/>
                <w:sz w:val="20"/>
                <w:szCs w:val="20"/>
              </w:rPr>
              <w:t>/2</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26.每百张病床药师人数</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医院药师（包括药剂师和临床药师）总人数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医院实际开放床位数×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（六）</w:t>
            </w:r>
          </w:p>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收支结构</w:t>
            </w:r>
          </w:p>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 </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27.门诊收入占医疗收入比例</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门诊收入/医疗收入×</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财务年报表。</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28.门诊收入中来自医保基金的比例</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门诊收入中来自医保基金的收入/门诊收入×</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财务年报表。</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29.住院收入占医疗收入比例</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住院收入/医疗收入×</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财务年报表。</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30.住院收入中来自医保基金的比例</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住院收入中来自医保基金的收入/住院收入×</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财务年报表。</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31.医疗服务收入（不含药品、耗材、检查检验收入）占医疗收入比例▲</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医疗服务收入</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医疗收入×</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。医疗服务收入包括挂号收入、床位收入、诊察收入、治疗收入、手术收入、药事服务收入、护理收入。</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财务年报表。</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32.辅助用药收入占</w:t>
            </w:r>
            <w:r w:rsidRPr="00687EBA">
              <w:rPr>
                <w:rFonts w:ascii="宋体" w:eastAsia="宋体" w:hAnsi="宋体" w:cs="宋体" w:hint="eastAsia"/>
                <w:kern w:val="0"/>
                <w:sz w:val="20"/>
                <w:szCs w:val="20"/>
              </w:rPr>
              <w:lastRenderedPageBreak/>
              <w:t>比</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lastRenderedPageBreak/>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辅助用药收入</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药品总收</w:t>
            </w:r>
            <w:r w:rsidRPr="00687EBA">
              <w:rPr>
                <w:rFonts w:ascii="宋体" w:eastAsia="宋体" w:hAnsi="宋体" w:cs="宋体" w:hint="eastAsia"/>
                <w:kern w:val="0"/>
                <w:sz w:val="20"/>
                <w:szCs w:val="20"/>
              </w:rPr>
              <w:lastRenderedPageBreak/>
              <w:t>入×</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33.人员支出占业务支出比重▲</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人员支出/业务支出×</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财务年报表。</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34.万元收入能耗支出▲</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年总能耗支出</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年总收入×</w:t>
            </w:r>
            <w:r w:rsidRPr="00687EBA">
              <w:rPr>
                <w:rFonts w:ascii="Calibri" w:eastAsia="宋体" w:hAnsi="Calibri" w:cs="宋体"/>
                <w:kern w:val="0"/>
                <w:sz w:val="20"/>
                <w:szCs w:val="20"/>
              </w:rPr>
              <w:t>10000</w:t>
            </w:r>
            <w:r w:rsidRPr="00687EBA">
              <w:rPr>
                <w:rFonts w:ascii="宋体" w:eastAsia="宋体" w:hAnsi="宋体" w:cs="宋体" w:hint="eastAsia"/>
                <w:kern w:val="0"/>
                <w:sz w:val="20"/>
                <w:szCs w:val="20"/>
              </w:rPr>
              <w:t>。总能耗为水、电、气、热等能耗折算为吨标煤后之和。</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财务年报表。</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35.收支结余▲</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业务收支结余</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财政项目补助收支结转（余）</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科教项目收支结转（余）。业务收支结余</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医疗收支结余</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其他收入</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其他支出，其中：医疗收支结余</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医疗收入</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财政基本支出补助收入</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医疗支出</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管理费用。财政项目补助收支结转（余）</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财政项目支出补助收入</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财政项目补助支出。科教项目收支结转（余）</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科教项目收入</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科教项目支出。</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财务年报表。</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36.资产负债率▲</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负债合计</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资产合计×</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（反映负债合理性，引导医院避免盲目负债扩张或经营，降低医院运行潜在风险）。</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财务年报表。</w:t>
            </w:r>
          </w:p>
        </w:tc>
      </w:tr>
      <w:tr w:rsidR="00687EBA" w:rsidRPr="00687EBA" w:rsidTr="00687EBA">
        <w:trPr>
          <w:trHeight w:val="1530"/>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（七）</w:t>
            </w:r>
          </w:p>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费用控制</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37.医疗收入增幅</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（本年度医疗收入－上一年度医疗收入）/上一年度医疗收入×</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财务年报表。</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38.门诊次均费用增幅▲</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（本年度门诊患者次均医药费用－上一年度门诊患者次均医药费用）/上一年度门诊患者次均医</w:t>
            </w:r>
            <w:r w:rsidRPr="00687EBA">
              <w:rPr>
                <w:rFonts w:ascii="宋体" w:eastAsia="宋体" w:hAnsi="宋体" w:cs="宋体" w:hint="eastAsia"/>
                <w:kern w:val="0"/>
                <w:sz w:val="20"/>
                <w:szCs w:val="20"/>
              </w:rPr>
              <w:lastRenderedPageBreak/>
              <w:t>药费用×</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。门诊患者次均医药费用</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门诊收入/门诊人次数。</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财务年报表。</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39.门诊次均药品费用增幅▲</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（本年度门诊患者次均药品费用－上一年度门诊患者次均药品费用）</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上一年度门诊患者次均药品费用×</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。门诊患者次均药品费用</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门诊药品收入</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门诊人次数。</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财务年报表。</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40.住院次均费用增幅▲</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（本年度出院患者次均医药费用－上一年度出院患者次均医药费用）/上一年度出院患者次均医药费用×</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。出院患者次均医药费用</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出院患者住院费用</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出院人次数。由于整体出院患者平均医药费用受多种因素影响，为使数据尽量可比，通过疾病严重程度（</w:t>
            </w:r>
            <w:r w:rsidRPr="00687EBA">
              <w:rPr>
                <w:rFonts w:ascii="Calibri" w:eastAsia="宋体" w:hAnsi="Calibri" w:cs="宋体"/>
                <w:kern w:val="0"/>
                <w:sz w:val="20"/>
                <w:szCs w:val="20"/>
              </w:rPr>
              <w:t>CMI</w:t>
            </w:r>
            <w:r w:rsidRPr="00687EBA">
              <w:rPr>
                <w:rFonts w:ascii="宋体" w:eastAsia="宋体" w:hAnsi="宋体" w:cs="宋体" w:hint="eastAsia"/>
                <w:kern w:val="0"/>
                <w:sz w:val="20"/>
                <w:szCs w:val="20"/>
              </w:rPr>
              <w:t>）调整。</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财务年报表。</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41.住院次均药品费用增幅▲</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（本年度出院患者次均药品费用－上一年度出院患者次均药品费用）/上一年度出院患者次均药品费用×</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。出院患者次均药品费用</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出院患者药品费用</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出院人次数。</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财务年报表。</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（八）</w:t>
            </w:r>
          </w:p>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经济管理</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42.全面预算管理</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定性</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查阅文件资料。</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43.规范设立总会计师</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定性</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查阅文件资料。</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10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b/>
                <w:bCs/>
                <w:kern w:val="0"/>
                <w:sz w:val="20"/>
                <w:szCs w:val="20"/>
              </w:rPr>
              <w:t>三、持续发展</w:t>
            </w: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（九）</w:t>
            </w:r>
          </w:p>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人员结构</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44.卫生技术人员职称结构</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医院具有高级职称的医务人员数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全院同期医务人员总数×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45.麻醉、儿科、重症、病理、中医医师占比▲</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医院注册的麻醉、儿科、重症、病理、中医在岗医师数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全院同期医师总数。</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国家医疗机构、医师、护士电子化注册系统。</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46.医护比▲</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医院注册医师总数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全院同期注册护士总数。</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国家医疗机构、医师、护士电子化注册系统。</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（十）</w:t>
            </w:r>
          </w:p>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人才培养</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47.医院接受其他医院（尤其是对口支援医院、医联体内医院）进修并返回原医院独立工作人数占比</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医院接受其他医院（尤其是对口支援医院、医联体内医院）进修半年及以上并返回原医院独立工作人数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医院同期招收进修总人数×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48.医院住院医师首次参加医师资格考试通过率▲</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本年度首次参加医师资格考试并通过的住院医师人数</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同期首次参加医师资格考试的住院医师总人数×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国家卫生健康委。</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49.医院承担培养医学人才的工作成效</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统计医院在医学人才培养方面的经费投入、临床带教教师和指导医师接受教育教学培训人次数、承担医学教育的人数和发表教学论文的数量。</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（十一）</w:t>
            </w:r>
          </w:p>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学科建设</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50.每百名卫生技术人员科研项目经费▲</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本年度科研项目立项经费总金额</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同期卫生技术人员总数×</w:t>
            </w:r>
            <w:r w:rsidRPr="00687EBA">
              <w:rPr>
                <w:rFonts w:ascii="Calibri" w:eastAsia="宋体" w:hAnsi="Calibri" w:cs="宋体"/>
                <w:kern w:val="0"/>
                <w:sz w:val="20"/>
                <w:szCs w:val="20"/>
              </w:rPr>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51.每百名卫生技术人员科研成果转化</w:t>
            </w:r>
            <w:r w:rsidRPr="00687EBA">
              <w:rPr>
                <w:rFonts w:ascii="宋体" w:eastAsia="宋体" w:hAnsi="宋体" w:cs="宋体" w:hint="eastAsia"/>
                <w:kern w:val="0"/>
                <w:sz w:val="20"/>
                <w:szCs w:val="20"/>
              </w:rPr>
              <w:lastRenderedPageBreak/>
              <w:t>金额</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lastRenderedPageBreak/>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本年度科技成果转化总金额</w:t>
            </w:r>
            <w:r w:rsidRPr="00687EBA">
              <w:rPr>
                <w:rFonts w:ascii="Calibri" w:eastAsia="宋体" w:hAnsi="Calibri" w:cs="宋体"/>
                <w:kern w:val="0"/>
                <w:sz w:val="20"/>
                <w:szCs w:val="20"/>
              </w:rPr>
              <w:t>/</w:t>
            </w:r>
            <w:r w:rsidRPr="00687EBA">
              <w:rPr>
                <w:rFonts w:ascii="宋体" w:eastAsia="宋体" w:hAnsi="宋体" w:cs="宋体" w:hint="eastAsia"/>
                <w:kern w:val="0"/>
                <w:sz w:val="20"/>
                <w:szCs w:val="20"/>
              </w:rPr>
              <w:t>同期医院卫生技术人员总数×</w:t>
            </w:r>
            <w:r w:rsidRPr="00687EBA">
              <w:rPr>
                <w:rFonts w:ascii="Calibri" w:eastAsia="宋体" w:hAnsi="Calibri" w:cs="宋体"/>
                <w:kern w:val="0"/>
                <w:sz w:val="20"/>
                <w:szCs w:val="20"/>
              </w:rPr>
              <w:lastRenderedPageBreak/>
              <w:t>100</w:t>
            </w:r>
            <w:r w:rsidRPr="00687EBA">
              <w:rPr>
                <w:rFonts w:ascii="宋体" w:eastAsia="宋体" w:hAnsi="宋体" w:cs="宋体" w:hint="eastAsia"/>
                <w:kern w:val="0"/>
                <w:sz w:val="20"/>
                <w:szCs w:val="20"/>
              </w:rPr>
              <w:t>。</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医院填报。</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（十二）</w:t>
            </w:r>
          </w:p>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信用建设</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52.公共信用综合评价等级</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定性</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按照公共信用综合评价规范进行评价。</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国家发展改革委。</w:t>
            </w:r>
          </w:p>
        </w:tc>
      </w:tr>
      <w:tr w:rsidR="00687EBA" w:rsidRPr="00687EBA" w:rsidTr="00687EBA">
        <w:trPr>
          <w:jc w:val="center"/>
        </w:trPr>
        <w:tc>
          <w:tcPr>
            <w:tcW w:w="10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b/>
                <w:bCs/>
                <w:kern w:val="0"/>
                <w:sz w:val="20"/>
                <w:szCs w:val="20"/>
              </w:rPr>
              <w:t>四、满意度评价</w:t>
            </w: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（十三）</w:t>
            </w:r>
          </w:p>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患者满意度</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53.门诊患者满意度▲</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门诊患者满意度调查得分。</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国家卫生健康委。</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54.住院患者满意度▲</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住院患者满意度调查得分。</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国家卫生健康委。</w:t>
            </w:r>
          </w:p>
        </w:tc>
      </w:tr>
      <w:tr w:rsidR="00687EBA" w:rsidRPr="00687EBA" w:rsidTr="00687EBA">
        <w:trPr>
          <w:jc w:val="center"/>
        </w:trPr>
        <w:tc>
          <w:tcPr>
            <w:tcW w:w="0" w:type="auto"/>
            <w:vMerge/>
            <w:tcBorders>
              <w:top w:val="nil"/>
              <w:left w:val="single" w:sz="8" w:space="0" w:color="auto"/>
              <w:bottom w:val="single" w:sz="8" w:space="0" w:color="auto"/>
              <w:right w:val="single" w:sz="8" w:space="0" w:color="auto"/>
            </w:tcBorders>
            <w:vAlign w:val="center"/>
            <w:hideMark/>
          </w:tcPr>
          <w:p w:rsidR="00687EBA" w:rsidRPr="00687EBA" w:rsidRDefault="00687EBA" w:rsidP="00687EBA">
            <w:pPr>
              <w:widowControl/>
              <w:jc w:val="left"/>
              <w:rPr>
                <w:rFonts w:ascii="宋体" w:eastAsia="宋体" w:hAnsi="宋体" w:cs="宋体"/>
                <w:kern w:val="0"/>
                <w:sz w:val="24"/>
                <w:szCs w:val="24"/>
              </w:rPr>
            </w:pPr>
          </w:p>
        </w:tc>
        <w:tc>
          <w:tcPr>
            <w:tcW w:w="1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（十四）</w:t>
            </w:r>
          </w:p>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医务人员</w:t>
            </w:r>
          </w:p>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满意度</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宋体" w:eastAsia="宋体" w:hAnsi="宋体" w:cs="宋体" w:hint="eastAsia"/>
                <w:kern w:val="0"/>
                <w:sz w:val="20"/>
                <w:szCs w:val="20"/>
              </w:rPr>
              <w:t>55.医务人员满意度▲</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jc w:val="center"/>
              <w:rPr>
                <w:rFonts w:ascii="宋体" w:eastAsia="宋体" w:hAnsi="宋体" w:cs="宋体"/>
                <w:kern w:val="0"/>
                <w:sz w:val="24"/>
                <w:szCs w:val="24"/>
              </w:rPr>
            </w:pPr>
            <w:r w:rsidRPr="00687EBA">
              <w:rPr>
                <w:rFonts w:ascii="宋体" w:eastAsia="宋体" w:hAnsi="宋体" w:cs="宋体" w:hint="eastAsia"/>
                <w:kern w:val="0"/>
                <w:sz w:val="20"/>
                <w:szCs w:val="20"/>
              </w:rPr>
              <w:t>定量</w:t>
            </w:r>
          </w:p>
        </w:tc>
        <w:tc>
          <w:tcPr>
            <w:tcW w:w="3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EBA" w:rsidRPr="00687EBA" w:rsidRDefault="00687EBA" w:rsidP="00687EBA">
            <w:pPr>
              <w:widowControl/>
              <w:spacing w:line="420" w:lineRule="atLeast"/>
              <w:rPr>
                <w:rFonts w:ascii="宋体" w:eastAsia="宋体" w:hAnsi="宋体" w:cs="宋体"/>
                <w:kern w:val="0"/>
                <w:sz w:val="24"/>
                <w:szCs w:val="24"/>
              </w:rPr>
            </w:pPr>
            <w:r w:rsidRPr="00687EBA">
              <w:rPr>
                <w:rFonts w:ascii="楷体" w:eastAsia="楷体" w:hAnsi="楷体" w:cs="宋体" w:hint="eastAsia"/>
                <w:kern w:val="0"/>
                <w:sz w:val="20"/>
                <w:szCs w:val="20"/>
              </w:rPr>
              <w:t>计算方法：</w:t>
            </w:r>
            <w:r w:rsidRPr="00687EBA">
              <w:rPr>
                <w:rFonts w:ascii="宋体" w:eastAsia="宋体" w:hAnsi="宋体" w:cs="宋体" w:hint="eastAsia"/>
                <w:kern w:val="0"/>
                <w:sz w:val="20"/>
                <w:szCs w:val="20"/>
              </w:rPr>
              <w:t>医务人员满意度调查得分。</w:t>
            </w:r>
            <w:r w:rsidRPr="00687EBA">
              <w:rPr>
                <w:rFonts w:ascii="宋体" w:eastAsia="宋体" w:hAnsi="宋体" w:cs="宋体" w:hint="eastAsia"/>
                <w:kern w:val="0"/>
                <w:sz w:val="20"/>
                <w:szCs w:val="20"/>
              </w:rPr>
              <w:br/>
            </w:r>
            <w:r w:rsidRPr="00687EBA">
              <w:rPr>
                <w:rFonts w:ascii="楷体" w:eastAsia="楷体" w:hAnsi="楷体" w:cs="宋体" w:hint="eastAsia"/>
                <w:kern w:val="0"/>
                <w:sz w:val="20"/>
                <w:szCs w:val="20"/>
              </w:rPr>
              <w:t>指标来源：</w:t>
            </w:r>
            <w:r w:rsidRPr="00687EBA">
              <w:rPr>
                <w:rFonts w:ascii="宋体" w:eastAsia="宋体" w:hAnsi="宋体" w:cs="宋体" w:hint="eastAsia"/>
                <w:kern w:val="0"/>
                <w:sz w:val="20"/>
                <w:szCs w:val="20"/>
              </w:rPr>
              <w:t>国家卫生健康委。</w:t>
            </w:r>
          </w:p>
        </w:tc>
      </w:tr>
    </w:tbl>
    <w:p w:rsidR="00687EBA" w:rsidRPr="00687EBA" w:rsidRDefault="00687EBA" w:rsidP="00687EBA">
      <w:pPr>
        <w:widowControl/>
        <w:shd w:val="clear" w:color="auto" w:fill="FFFFFF"/>
        <w:rPr>
          <w:rFonts w:ascii="宋体" w:eastAsia="宋体" w:hAnsi="宋体" w:cs="宋体" w:hint="eastAsia"/>
          <w:color w:val="333333"/>
          <w:kern w:val="0"/>
          <w:sz w:val="27"/>
          <w:szCs w:val="27"/>
        </w:rPr>
      </w:pPr>
      <w:r w:rsidRPr="00687EBA">
        <w:rPr>
          <w:rFonts w:ascii="宋体" w:eastAsia="宋体" w:hAnsi="宋体" w:cs="宋体" w:hint="eastAsia"/>
          <w:b/>
          <w:bCs/>
          <w:color w:val="333333"/>
          <w:kern w:val="0"/>
          <w:sz w:val="20"/>
          <w:szCs w:val="20"/>
        </w:rPr>
        <w:t>注：</w:t>
      </w:r>
    </w:p>
    <w:p w:rsidR="00687EBA" w:rsidRPr="00687EBA" w:rsidRDefault="00687EBA" w:rsidP="00687EBA">
      <w:pPr>
        <w:widowControl/>
        <w:shd w:val="clear" w:color="auto" w:fill="FFFFFF"/>
        <w:ind w:firstLine="480"/>
        <w:rPr>
          <w:rFonts w:ascii="宋体" w:eastAsia="宋体" w:hAnsi="宋体" w:cs="宋体" w:hint="eastAsia"/>
          <w:color w:val="333333"/>
          <w:kern w:val="0"/>
          <w:sz w:val="27"/>
          <w:szCs w:val="27"/>
        </w:rPr>
      </w:pPr>
      <w:r w:rsidRPr="00687EBA">
        <w:rPr>
          <w:rFonts w:ascii="宋体" w:eastAsia="宋体" w:hAnsi="宋体" w:cs="宋体" w:hint="eastAsia"/>
          <w:color w:val="333333"/>
          <w:kern w:val="0"/>
          <w:sz w:val="20"/>
          <w:szCs w:val="20"/>
        </w:rPr>
        <w:t>1.三级公立综合医院考核应采用上述全部考核指标。三级公立专科医院考核可根据专科特点选用部分考核指标。国家中医药局在组织对三级公立中医医院考核时，根据工作实际适当调整和补充考核指标。</w:t>
      </w:r>
    </w:p>
    <w:p w:rsidR="00687EBA" w:rsidRPr="00687EBA" w:rsidRDefault="00687EBA" w:rsidP="00687EBA">
      <w:pPr>
        <w:widowControl/>
        <w:shd w:val="clear" w:color="auto" w:fill="FFFFFF"/>
        <w:ind w:firstLine="480"/>
        <w:rPr>
          <w:rFonts w:ascii="宋体" w:eastAsia="宋体" w:hAnsi="宋体" w:cs="宋体" w:hint="eastAsia"/>
          <w:color w:val="333333"/>
          <w:kern w:val="0"/>
          <w:sz w:val="27"/>
          <w:szCs w:val="27"/>
        </w:rPr>
      </w:pPr>
      <w:r w:rsidRPr="00687EBA">
        <w:rPr>
          <w:rFonts w:ascii="宋体" w:eastAsia="宋体" w:hAnsi="宋体" w:cs="宋体" w:hint="eastAsia"/>
          <w:color w:val="333333"/>
          <w:kern w:val="0"/>
          <w:sz w:val="20"/>
          <w:szCs w:val="20"/>
        </w:rPr>
        <w:t>2.标记“▲”的26个指标为国家监测指标，其中15个指标自动生成，9个指标由财务年报表获取，2个指标由医院填报。</w:t>
      </w:r>
    </w:p>
    <w:p w:rsidR="00687EBA" w:rsidRPr="00687EBA" w:rsidRDefault="00687EBA" w:rsidP="00687EBA">
      <w:pPr>
        <w:widowControl/>
        <w:shd w:val="clear" w:color="auto" w:fill="FFFFFF"/>
        <w:ind w:firstLine="480"/>
        <w:rPr>
          <w:rFonts w:ascii="宋体" w:eastAsia="宋体" w:hAnsi="宋体" w:cs="宋体" w:hint="eastAsia"/>
          <w:color w:val="333333"/>
          <w:kern w:val="0"/>
          <w:sz w:val="27"/>
          <w:szCs w:val="27"/>
        </w:rPr>
      </w:pPr>
      <w:r w:rsidRPr="00687EBA">
        <w:rPr>
          <w:rFonts w:ascii="宋体" w:eastAsia="宋体" w:hAnsi="宋体" w:cs="宋体" w:hint="eastAsia"/>
          <w:color w:val="333333"/>
          <w:kern w:val="0"/>
          <w:sz w:val="20"/>
          <w:szCs w:val="20"/>
        </w:rPr>
        <w:t>3.考核指标中的手术包括在日间手术室或住院部手术室内、麻醉状态下完成的手术，不包括门诊手术。其中，日间手术是指患者按照诊疗计划在1日（24小时）内入、出院完成的手术或操作（不包括门诊手术），因病情需要延期住院的特殊病例，住院时间不超过48小时。</w:t>
      </w:r>
    </w:p>
    <w:p w:rsidR="00687EBA" w:rsidRPr="00687EBA" w:rsidRDefault="00687EBA" w:rsidP="00687EBA">
      <w:pPr>
        <w:widowControl/>
        <w:shd w:val="clear" w:color="auto" w:fill="FFFFFF"/>
        <w:ind w:firstLine="480"/>
        <w:rPr>
          <w:rFonts w:ascii="宋体" w:eastAsia="宋体" w:hAnsi="宋体" w:cs="宋体" w:hint="eastAsia"/>
          <w:color w:val="333333"/>
          <w:kern w:val="0"/>
          <w:sz w:val="27"/>
          <w:szCs w:val="27"/>
        </w:rPr>
      </w:pPr>
      <w:r w:rsidRPr="00687EBA">
        <w:rPr>
          <w:rFonts w:ascii="宋体" w:eastAsia="宋体" w:hAnsi="宋体" w:cs="宋体" w:hint="eastAsia"/>
          <w:color w:val="333333"/>
          <w:kern w:val="0"/>
          <w:sz w:val="20"/>
          <w:szCs w:val="20"/>
        </w:rPr>
        <w:t>4.微创手术是指出院患者在日间手术室或住院部手术室内、麻醉状态下的内科和外科腔镜手术、血管内和实质脏器的介入治疗。</w:t>
      </w:r>
    </w:p>
    <w:p w:rsidR="00687EBA" w:rsidRPr="00687EBA" w:rsidRDefault="00687EBA" w:rsidP="00687EBA">
      <w:pPr>
        <w:widowControl/>
        <w:shd w:val="clear" w:color="auto" w:fill="FFFFFF"/>
        <w:ind w:firstLine="480"/>
        <w:rPr>
          <w:rFonts w:ascii="宋体" w:eastAsia="宋体" w:hAnsi="宋体" w:cs="宋体" w:hint="eastAsia"/>
          <w:color w:val="333333"/>
          <w:kern w:val="0"/>
          <w:sz w:val="27"/>
          <w:szCs w:val="27"/>
        </w:rPr>
      </w:pPr>
      <w:r w:rsidRPr="00687EBA">
        <w:rPr>
          <w:rFonts w:ascii="宋体" w:eastAsia="宋体" w:hAnsi="宋体" w:cs="宋体" w:hint="eastAsia"/>
          <w:color w:val="333333"/>
          <w:kern w:val="0"/>
          <w:sz w:val="20"/>
          <w:szCs w:val="20"/>
        </w:rPr>
        <w:t>5.四级手术以国家统一规定纳入监测的四级手术目录为准。</w:t>
      </w:r>
    </w:p>
    <w:p w:rsidR="00687EBA" w:rsidRPr="00687EBA" w:rsidRDefault="00687EBA" w:rsidP="00687EBA">
      <w:pPr>
        <w:widowControl/>
        <w:shd w:val="clear" w:color="auto" w:fill="FFFFFF"/>
        <w:ind w:firstLine="480"/>
        <w:rPr>
          <w:rFonts w:ascii="宋体" w:eastAsia="宋体" w:hAnsi="宋体" w:cs="宋体" w:hint="eastAsia"/>
          <w:color w:val="333333"/>
          <w:kern w:val="0"/>
          <w:sz w:val="27"/>
          <w:szCs w:val="27"/>
        </w:rPr>
      </w:pPr>
      <w:r w:rsidRPr="00687EBA">
        <w:rPr>
          <w:rFonts w:ascii="宋体" w:eastAsia="宋体" w:hAnsi="宋体" w:cs="宋体" w:hint="eastAsia"/>
          <w:color w:val="333333"/>
          <w:kern w:val="0"/>
          <w:sz w:val="20"/>
          <w:szCs w:val="20"/>
        </w:rPr>
        <w:t>6.“特需医疗服务占比”按照两个计算公式，同时统计服务量与服务收入占比。</w:t>
      </w:r>
    </w:p>
    <w:p w:rsidR="00687EBA" w:rsidRPr="00687EBA" w:rsidRDefault="00687EBA" w:rsidP="00687EBA">
      <w:pPr>
        <w:widowControl/>
        <w:shd w:val="clear" w:color="auto" w:fill="FFFFFF"/>
        <w:ind w:firstLine="480"/>
        <w:rPr>
          <w:rFonts w:ascii="宋体" w:eastAsia="宋体" w:hAnsi="宋体" w:cs="宋体" w:hint="eastAsia"/>
          <w:color w:val="333333"/>
          <w:kern w:val="0"/>
          <w:sz w:val="27"/>
          <w:szCs w:val="27"/>
        </w:rPr>
      </w:pPr>
      <w:r w:rsidRPr="00687EBA">
        <w:rPr>
          <w:rFonts w:ascii="宋体" w:eastAsia="宋体" w:hAnsi="宋体" w:cs="宋体" w:hint="eastAsia"/>
          <w:color w:val="333333"/>
          <w:kern w:val="0"/>
          <w:sz w:val="20"/>
          <w:szCs w:val="20"/>
        </w:rPr>
        <w:t>7.单病种包括急性心肌梗死、心力衰竭、肺炎、脑梗死、髋关节置换术、膝关节置换术、冠状动脉旁路移植术、围手术期预防感染、剖宫产、慢性阻塞性肺疾病、围手术期预防深静脉血栓等。</w:t>
      </w:r>
    </w:p>
    <w:p w:rsidR="00687EBA" w:rsidRPr="00687EBA" w:rsidRDefault="00687EBA" w:rsidP="00687EBA">
      <w:pPr>
        <w:widowControl/>
        <w:shd w:val="clear" w:color="auto" w:fill="FFFFFF"/>
        <w:ind w:firstLine="480"/>
        <w:rPr>
          <w:rFonts w:ascii="宋体" w:eastAsia="宋体" w:hAnsi="宋体" w:cs="宋体" w:hint="eastAsia"/>
          <w:color w:val="333333"/>
          <w:kern w:val="0"/>
          <w:sz w:val="27"/>
          <w:szCs w:val="27"/>
        </w:rPr>
      </w:pPr>
      <w:r w:rsidRPr="00687EBA">
        <w:rPr>
          <w:rFonts w:ascii="宋体" w:eastAsia="宋体" w:hAnsi="宋体" w:cs="宋体" w:hint="eastAsia"/>
          <w:color w:val="333333"/>
          <w:kern w:val="0"/>
          <w:sz w:val="20"/>
          <w:szCs w:val="20"/>
        </w:rPr>
        <w:t>8.用于检查的大型医用设备按照国家卫生健康委《大型医用设备配置许可管理目录》进行统计。</w:t>
      </w:r>
    </w:p>
    <w:p w:rsidR="00687EBA" w:rsidRPr="00687EBA" w:rsidRDefault="00687EBA" w:rsidP="00687EBA">
      <w:pPr>
        <w:widowControl/>
        <w:shd w:val="clear" w:color="auto" w:fill="FFFFFF"/>
        <w:ind w:firstLine="480"/>
        <w:rPr>
          <w:rFonts w:ascii="宋体" w:eastAsia="宋体" w:hAnsi="宋体" w:cs="宋体" w:hint="eastAsia"/>
          <w:color w:val="333333"/>
          <w:kern w:val="0"/>
          <w:sz w:val="27"/>
          <w:szCs w:val="27"/>
        </w:rPr>
      </w:pPr>
      <w:r w:rsidRPr="00687EBA">
        <w:rPr>
          <w:rFonts w:ascii="宋体" w:eastAsia="宋体" w:hAnsi="宋体" w:cs="宋体" w:hint="eastAsia"/>
          <w:color w:val="333333"/>
          <w:kern w:val="0"/>
          <w:sz w:val="20"/>
          <w:szCs w:val="20"/>
        </w:rPr>
        <w:t>9.“门诊收入中来自医保基金的比例”、“住院收入中来自医保基金的比例”，用于医院自身纵向比较，不在医院之间比较。</w:t>
      </w:r>
    </w:p>
    <w:p w:rsidR="00687EBA" w:rsidRPr="00687EBA" w:rsidRDefault="00687EBA" w:rsidP="00687EBA">
      <w:pPr>
        <w:widowControl/>
        <w:shd w:val="clear" w:color="auto" w:fill="FFFFFF"/>
        <w:ind w:firstLine="480"/>
        <w:rPr>
          <w:rFonts w:ascii="宋体" w:eastAsia="宋体" w:hAnsi="宋体" w:cs="宋体" w:hint="eastAsia"/>
          <w:color w:val="333333"/>
          <w:kern w:val="0"/>
          <w:sz w:val="27"/>
          <w:szCs w:val="27"/>
        </w:rPr>
      </w:pPr>
      <w:r w:rsidRPr="00687EBA">
        <w:rPr>
          <w:rFonts w:ascii="宋体" w:eastAsia="宋体" w:hAnsi="宋体" w:cs="宋体" w:hint="eastAsia"/>
          <w:color w:val="333333"/>
          <w:kern w:val="0"/>
          <w:sz w:val="20"/>
          <w:szCs w:val="20"/>
        </w:rPr>
        <w:t>10.辅助用药以国家统一规定的品目为准。</w:t>
      </w:r>
    </w:p>
    <w:p w:rsidR="00687EBA" w:rsidRPr="00687EBA" w:rsidRDefault="00687EBA" w:rsidP="00687EBA">
      <w:pPr>
        <w:widowControl/>
        <w:shd w:val="clear" w:color="auto" w:fill="FFFFFF"/>
        <w:ind w:firstLine="480"/>
        <w:rPr>
          <w:rFonts w:ascii="宋体" w:eastAsia="宋体" w:hAnsi="宋体" w:cs="宋体" w:hint="eastAsia"/>
          <w:color w:val="333333"/>
          <w:kern w:val="0"/>
          <w:sz w:val="27"/>
          <w:szCs w:val="27"/>
        </w:rPr>
      </w:pPr>
      <w:r w:rsidRPr="00687EBA">
        <w:rPr>
          <w:rFonts w:ascii="宋体" w:eastAsia="宋体" w:hAnsi="宋体" w:cs="宋体" w:hint="eastAsia"/>
          <w:color w:val="333333"/>
          <w:kern w:val="0"/>
          <w:sz w:val="20"/>
          <w:szCs w:val="20"/>
        </w:rPr>
        <w:t>11.“麻醉、儿科、重症、病理、中医医师占比”根据各医院紧缺专业人才结构具体情况，按麻醉、儿科、重症、病理、中医五个类别分别计算占比。</w:t>
      </w:r>
    </w:p>
    <w:p w:rsidR="00687EBA" w:rsidRPr="00687EBA" w:rsidRDefault="00687EBA" w:rsidP="00687EBA">
      <w:pPr>
        <w:widowControl/>
        <w:shd w:val="clear" w:color="auto" w:fill="FFFFFF"/>
        <w:ind w:firstLine="480"/>
        <w:rPr>
          <w:rFonts w:ascii="宋体" w:eastAsia="宋体" w:hAnsi="宋体" w:cs="宋体" w:hint="eastAsia"/>
          <w:color w:val="333333"/>
          <w:kern w:val="0"/>
          <w:sz w:val="27"/>
          <w:szCs w:val="27"/>
        </w:rPr>
      </w:pPr>
      <w:r w:rsidRPr="00687EBA">
        <w:rPr>
          <w:rFonts w:ascii="宋体" w:eastAsia="宋体" w:hAnsi="宋体" w:cs="宋体" w:hint="eastAsia"/>
          <w:color w:val="333333"/>
          <w:kern w:val="0"/>
          <w:sz w:val="20"/>
          <w:szCs w:val="20"/>
        </w:rPr>
        <w:t>12.科技成果转化总金额是指医院科研成果在技术市场合同成交金额总数。</w:t>
      </w:r>
    </w:p>
    <w:p w:rsidR="002B1A67" w:rsidRDefault="00687EBA"/>
    <w:sectPr w:rsidR="002B1A67" w:rsidSect="000726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7EBA"/>
    <w:rsid w:val="0007264F"/>
    <w:rsid w:val="003D15B5"/>
    <w:rsid w:val="00687EBA"/>
    <w:rsid w:val="00F454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7EB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53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792</Words>
  <Characters>4515</Characters>
  <Application>Microsoft Office Word</Application>
  <DocSecurity>0</DocSecurity>
  <Lines>37</Lines>
  <Paragraphs>10</Paragraphs>
  <ScaleCrop>false</ScaleCrop>
  <Company>CHINA</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2019-07-23T07:57:00Z</dcterms:created>
  <dcterms:modified xsi:type="dcterms:W3CDTF">2019-07-23T07:57:00Z</dcterms:modified>
</cp:coreProperties>
</file>